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4EDA8" w14:textId="555B35EA" w:rsidR="00E5595A" w:rsidRPr="004E0BA8" w:rsidRDefault="00E5595A" w:rsidP="00E5595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106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bis-e</w:t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Pr="004E0BA8">
        <w:rPr>
          <w:sz w:val="20"/>
        </w:rPr>
        <w:tab/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R4-23</w:t>
      </w:r>
      <w:r w:rsidR="00FA146A">
        <w:rPr>
          <w:rFonts w:ascii="Arial" w:hAnsi="Arial" w:cs="Arial"/>
          <w:b/>
          <w:bCs/>
          <w:noProof/>
          <w:sz w:val="24"/>
          <w:szCs w:val="24"/>
          <w:lang w:eastAsia="ja-JP"/>
        </w:rPr>
        <w:t>06350</w:t>
      </w:r>
    </w:p>
    <w:p w14:paraId="327E2C89" w14:textId="77777777" w:rsidR="00E5595A" w:rsidRPr="004E0BA8" w:rsidRDefault="00E5595A" w:rsidP="00E5595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Electronic Meeting</w:t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>7</w:t>
      </w:r>
      <w:r w:rsidRPr="004E0BA8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April</w:t>
      </w:r>
      <w:r w:rsidRPr="004E0BA8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26</w:t>
      </w:r>
      <w:r w:rsidRPr="004E0BA8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April</w:t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2023</w:t>
      </w:r>
    </w:p>
    <w:p w14:paraId="2D7F49D4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07401D7D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4E0BA8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ab/>
      </w:r>
      <w:r>
        <w:rPr>
          <w:rFonts w:ascii="Arial" w:eastAsia="MS Mincho" w:hAnsi="Arial" w:cs="Arial"/>
          <w:b/>
          <w:bCs/>
          <w:sz w:val="24"/>
          <w:lang w:val="en-US"/>
        </w:rPr>
        <w:t>5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>.</w:t>
      </w:r>
      <w:r>
        <w:rPr>
          <w:rFonts w:ascii="Arial" w:eastAsia="MS Mincho" w:hAnsi="Arial" w:cs="Arial"/>
          <w:b/>
          <w:bCs/>
          <w:sz w:val="24"/>
          <w:lang w:val="en-US"/>
        </w:rPr>
        <w:t>23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>.3</w:t>
      </w:r>
      <w:r>
        <w:rPr>
          <w:rFonts w:ascii="Arial" w:eastAsia="MS Mincho" w:hAnsi="Arial" w:cs="Arial"/>
          <w:b/>
          <w:bCs/>
          <w:sz w:val="24"/>
          <w:lang w:val="en-US"/>
        </w:rPr>
        <w:t>.4</w:t>
      </w:r>
    </w:p>
    <w:p w14:paraId="41B80539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E0BA8">
        <w:rPr>
          <w:rFonts w:ascii="Arial" w:eastAsia="MS Mincho" w:hAnsi="Arial" w:cs="Arial"/>
          <w:b/>
          <w:bCs/>
          <w:sz w:val="24"/>
        </w:rPr>
        <w:t xml:space="preserve">Source: </w:t>
      </w:r>
      <w:r w:rsidRPr="004E0BA8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4BAD3A1E" w14:textId="4913B1C2" w:rsidR="00E5595A" w:rsidRPr="004E0BA8" w:rsidRDefault="00E5595A" w:rsidP="00E5595A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004E0BA8">
        <w:rPr>
          <w:rFonts w:ascii="Arial" w:eastAsia="MS Mincho" w:hAnsi="Arial" w:cs="Arial"/>
          <w:b/>
          <w:bCs/>
          <w:sz w:val="24"/>
          <w:szCs w:val="24"/>
        </w:rPr>
        <w:t>Title:</w:t>
      </w:r>
      <w:r w:rsidRPr="004E0BA8">
        <w:rPr>
          <w:sz w:val="20"/>
        </w:rPr>
        <w:tab/>
      </w:r>
      <w:r>
        <w:rPr>
          <w:rFonts w:ascii="Arial" w:eastAsia="MS Mincho" w:hAnsi="Arial" w:cs="Arial"/>
          <w:b/>
          <w:bCs/>
          <w:sz w:val="24"/>
          <w:szCs w:val="24"/>
        </w:rPr>
        <w:t>Updated s</w:t>
      </w:r>
      <w:r w:rsidRPr="004E0BA8">
        <w:rPr>
          <w:rFonts w:ascii="Arial" w:eastAsia="MS Mincho" w:hAnsi="Arial" w:cs="Arial"/>
          <w:b/>
          <w:bCs/>
          <w:sz w:val="24"/>
          <w:szCs w:val="24"/>
        </w:rPr>
        <w:t>imulation assumptions for 1Rx RedCap UE PRS measurement</w:t>
      </w:r>
      <w:r w:rsidR="001A005E">
        <w:rPr>
          <w:rFonts w:ascii="Arial" w:eastAsia="MS Mincho" w:hAnsi="Arial" w:cs="Arial"/>
          <w:b/>
          <w:bCs/>
          <w:sz w:val="24"/>
          <w:szCs w:val="24"/>
        </w:rPr>
        <w:t xml:space="preserve"> without FH</w:t>
      </w:r>
    </w:p>
    <w:p w14:paraId="4F9B65A4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E0BA8">
        <w:rPr>
          <w:rFonts w:ascii="Arial" w:eastAsia="MS Mincho" w:hAnsi="Arial" w:cs="Arial"/>
          <w:b/>
          <w:bCs/>
          <w:sz w:val="24"/>
        </w:rPr>
        <w:t>Document for:</w:t>
      </w:r>
      <w:r w:rsidRPr="004E0BA8">
        <w:rPr>
          <w:rFonts w:ascii="Arial" w:eastAsia="MS Mincho" w:hAnsi="Arial" w:cs="Arial"/>
          <w:b/>
          <w:bCs/>
          <w:sz w:val="24"/>
        </w:rPr>
        <w:tab/>
        <w:t>Approval</w:t>
      </w:r>
    </w:p>
    <w:p w14:paraId="17972F21" w14:textId="77777777" w:rsidR="00E5595A" w:rsidRPr="00CD0600" w:rsidRDefault="00E5595A" w:rsidP="00E5595A">
      <w:pPr>
        <w:pStyle w:val="Heading1"/>
        <w:numPr>
          <w:ilvl w:val="0"/>
          <w:numId w:val="29"/>
        </w:numPr>
        <w:tabs>
          <w:tab w:val="clear" w:pos="432"/>
          <w:tab w:val="num" w:pos="360"/>
        </w:tabs>
        <w:ind w:left="720" w:hanging="720"/>
      </w:pPr>
      <w:r w:rsidRPr="00CD0600">
        <w:t>Introduction</w:t>
      </w:r>
    </w:p>
    <w:p w14:paraId="1DF7C3B5" w14:textId="3E90BA48" w:rsidR="00E5595A" w:rsidRDefault="00E5595A" w:rsidP="00E5595A">
      <w:pPr>
        <w:rPr>
          <w:sz w:val="20"/>
          <w:lang w:eastAsia="zh-CN"/>
        </w:rPr>
      </w:pPr>
      <w:r>
        <w:rPr>
          <w:sz w:val="20"/>
          <w:lang w:eastAsia="zh-CN"/>
        </w:rPr>
        <w:t xml:space="preserve">RAN4#106bis-e agreed to update the simulation assumptions for 1Rx RedCap UE captured in </w:t>
      </w:r>
      <w:r w:rsidRPr="004A775A">
        <w:rPr>
          <w:sz w:val="20"/>
          <w:lang w:eastAsia="zh-CN"/>
        </w:rPr>
        <w:t>R4-2303318</w:t>
      </w:r>
      <w:r>
        <w:rPr>
          <w:sz w:val="20"/>
          <w:lang w:eastAsia="zh-CN"/>
        </w:rPr>
        <w:t xml:space="preserve"> for further evaluation of positioning measurement accuracy. In this contribution updated </w:t>
      </w:r>
      <w:r w:rsidRPr="004E0BA8">
        <w:rPr>
          <w:sz w:val="20"/>
          <w:lang w:eastAsia="zh-CN"/>
        </w:rPr>
        <w:t>link level simulation assumption for PRS based RSTD, PRS-RSRP, UE Rx-Tx</w:t>
      </w:r>
      <w:r w:rsidR="00263847">
        <w:rPr>
          <w:sz w:val="20"/>
          <w:lang w:eastAsia="zh-CN"/>
        </w:rPr>
        <w:t>,</w:t>
      </w:r>
      <w:r w:rsidRPr="004E0BA8">
        <w:rPr>
          <w:sz w:val="20"/>
          <w:lang w:eastAsia="zh-CN"/>
        </w:rPr>
        <w:t xml:space="preserve"> and PRS-RSRPP measurement for 1Rx UE </w:t>
      </w:r>
      <w:r w:rsidR="00263847">
        <w:rPr>
          <w:sz w:val="20"/>
          <w:lang w:eastAsia="zh-CN"/>
        </w:rPr>
        <w:t>is</w:t>
      </w:r>
      <w:r w:rsidRPr="004E0BA8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captured</w:t>
      </w:r>
      <w:r w:rsidRPr="004E0BA8">
        <w:rPr>
          <w:sz w:val="20"/>
          <w:lang w:eastAsia="zh-CN"/>
        </w:rPr>
        <w:t>. Companies are encouraged to provide simulation results based on the agreed performance metric in section 3.</w:t>
      </w:r>
    </w:p>
    <w:p w14:paraId="451BAB81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Simulation assumptions</w:t>
      </w:r>
    </w:p>
    <w:p w14:paraId="518F48E8" w14:textId="77777777" w:rsidR="00E5595A" w:rsidRPr="004E0BA8" w:rsidRDefault="00E5595A" w:rsidP="00E5595A">
      <w:pPr>
        <w:keepNext/>
        <w:keepLines/>
        <w:spacing w:before="60"/>
        <w:jc w:val="center"/>
        <w:rPr>
          <w:sz w:val="20"/>
          <w:lang w:eastAsia="zh-CN"/>
        </w:rPr>
      </w:pPr>
      <w:r w:rsidRPr="004E0BA8">
        <w:rPr>
          <w:b/>
          <w:sz w:val="20"/>
        </w:rPr>
        <w:t xml:space="preserve">Table </w:t>
      </w:r>
      <w:r w:rsidRPr="004E0BA8">
        <w:rPr>
          <w:b/>
          <w:sz w:val="20"/>
          <w:lang w:val="en-US" w:eastAsia="zh-CN"/>
        </w:rPr>
        <w:t>1</w:t>
      </w:r>
      <w:r w:rsidRPr="004E0BA8">
        <w:rPr>
          <w:b/>
          <w:sz w:val="20"/>
          <w:lang w:eastAsia="zh-CN"/>
        </w:rPr>
        <w:t>:</w:t>
      </w:r>
      <w:r w:rsidRPr="004E0BA8">
        <w:rPr>
          <w:b/>
          <w:sz w:val="20"/>
        </w:rPr>
        <w:t xml:space="preserve"> </w:t>
      </w:r>
      <w:r w:rsidRPr="004E0BA8">
        <w:rPr>
          <w:b/>
          <w:sz w:val="20"/>
          <w:lang w:val="en-US"/>
        </w:rPr>
        <w:t>General parameters.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7"/>
        <w:gridCol w:w="5709"/>
      </w:tblGrid>
      <w:tr w:rsidR="00E5595A" w:rsidRPr="004E0BA8" w14:paraId="0AF65325" w14:textId="77777777" w:rsidTr="00AF1432">
        <w:tc>
          <w:tcPr>
            <w:tcW w:w="3307" w:type="dxa"/>
            <w:vAlign w:val="center"/>
          </w:tcPr>
          <w:p w14:paraId="00ECCC58" w14:textId="77777777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4E0BA8"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5709" w:type="dxa"/>
            <w:vAlign w:val="center"/>
          </w:tcPr>
          <w:p w14:paraId="1767FA34" w14:textId="77777777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4E0BA8">
              <w:rPr>
                <w:rFonts w:eastAsia="Batang"/>
                <w:b/>
                <w:sz w:val="18"/>
              </w:rPr>
              <w:t>Value</w:t>
            </w:r>
          </w:p>
        </w:tc>
      </w:tr>
      <w:tr w:rsidR="00E5595A" w:rsidRPr="004E0BA8" w14:paraId="6802F537" w14:textId="77777777" w:rsidTr="00AF1432">
        <w:tc>
          <w:tcPr>
            <w:tcW w:w="3307" w:type="dxa"/>
            <w:vAlign w:val="center"/>
          </w:tcPr>
          <w:p w14:paraId="26E05E8A" w14:textId="77777777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Frequency Range</w:t>
            </w:r>
          </w:p>
        </w:tc>
        <w:tc>
          <w:tcPr>
            <w:tcW w:w="5709" w:type="dxa"/>
            <w:vAlign w:val="center"/>
          </w:tcPr>
          <w:p w14:paraId="3A805328" w14:textId="55092972" w:rsidR="00E5595A" w:rsidRPr="004E0BA8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</w:rPr>
            </w:pPr>
            <w:r w:rsidRPr="001C0FFC">
              <w:rPr>
                <w:rFonts w:eastAsia="Batang"/>
                <w:b/>
                <w:sz w:val="18"/>
              </w:rPr>
              <w:t>FR1</w:t>
            </w:r>
          </w:p>
        </w:tc>
      </w:tr>
      <w:tr w:rsidR="00E5595A" w:rsidRPr="004E0BA8" w14:paraId="6F03C808" w14:textId="77777777" w:rsidTr="00AF1432">
        <w:tc>
          <w:tcPr>
            <w:tcW w:w="3307" w:type="dxa"/>
            <w:vAlign w:val="center"/>
          </w:tcPr>
          <w:p w14:paraId="548632AB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Cell layout</w:t>
            </w:r>
          </w:p>
        </w:tc>
        <w:tc>
          <w:tcPr>
            <w:tcW w:w="5709" w:type="dxa"/>
            <w:vAlign w:val="center"/>
          </w:tcPr>
          <w:p w14:paraId="3B52B558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3 cells at distinct locations: &lt;cell 1, cell 2, cell 3&gt;, where cell 1 is the reference cell</w:t>
            </w:r>
          </w:p>
        </w:tc>
      </w:tr>
      <w:tr w:rsidR="00E5595A" w:rsidRPr="004E0BA8" w14:paraId="6B7053CD" w14:textId="77777777" w:rsidTr="00AF1432">
        <w:tc>
          <w:tcPr>
            <w:tcW w:w="3307" w:type="dxa"/>
            <w:vAlign w:val="center"/>
          </w:tcPr>
          <w:p w14:paraId="7F1DDDA7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bookmarkStart w:id="0" w:name="_Hlk23422847"/>
            <w:r w:rsidRPr="004E0BA8"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5709" w:type="dxa"/>
            <w:vAlign w:val="center"/>
          </w:tcPr>
          <w:p w14:paraId="37CD4E86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•</w:t>
            </w:r>
            <w:r w:rsidRPr="004E0BA8">
              <w:rPr>
                <w:rFonts w:eastAsia="Batang"/>
                <w:sz w:val="18"/>
              </w:rPr>
              <w:tab/>
              <w:t>Synchronous</w:t>
            </w:r>
            <w:r w:rsidRPr="004E0BA8">
              <w:rPr>
                <w:sz w:val="18"/>
                <w:lang w:eastAsia="zh-CN"/>
              </w:rPr>
              <w:t xml:space="preserve"> with time shifts &lt;0, 0, 3 us&gt;</w:t>
            </w:r>
          </w:p>
          <w:p w14:paraId="5A4A3216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4E0BA8">
              <w:rPr>
                <w:rFonts w:eastAsia="Batang"/>
                <w:sz w:val="18"/>
              </w:rPr>
              <w:t>•</w:t>
            </w:r>
            <w:r w:rsidRPr="004E0BA8">
              <w:rPr>
                <w:rFonts w:eastAsia="Batang"/>
                <w:sz w:val="18"/>
              </w:rPr>
              <w:tab/>
              <w:t xml:space="preserve">Asynchronous </w:t>
            </w:r>
            <w:r w:rsidRPr="004E0BA8">
              <w:rPr>
                <w:sz w:val="18"/>
                <w:lang w:eastAsia="zh-CN"/>
              </w:rPr>
              <w:t xml:space="preserve">with time shifts: &lt;0, 7 symbols, -7 symbols&gt; </w:t>
            </w:r>
          </w:p>
        </w:tc>
      </w:tr>
      <w:bookmarkEnd w:id="0"/>
      <w:tr w:rsidR="00E5595A" w:rsidRPr="004E0BA8" w14:paraId="251BAD61" w14:textId="77777777" w:rsidTr="00AF1432">
        <w:tc>
          <w:tcPr>
            <w:tcW w:w="3307" w:type="dxa"/>
            <w:vAlign w:val="center"/>
          </w:tcPr>
          <w:p w14:paraId="4F4BC932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Duplex modes</w:t>
            </w:r>
          </w:p>
        </w:tc>
        <w:tc>
          <w:tcPr>
            <w:tcW w:w="5709" w:type="dxa"/>
            <w:vAlign w:val="center"/>
          </w:tcPr>
          <w:p w14:paraId="29726865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FDD and TDD</w:t>
            </w:r>
          </w:p>
        </w:tc>
      </w:tr>
      <w:tr w:rsidR="00E5595A" w:rsidRPr="004E0BA8" w14:paraId="556604D2" w14:textId="77777777" w:rsidTr="00AF1432">
        <w:trPr>
          <w:trHeight w:val="300"/>
        </w:trPr>
        <w:tc>
          <w:tcPr>
            <w:tcW w:w="3307" w:type="dxa"/>
            <w:vAlign w:val="center"/>
          </w:tcPr>
          <w:p w14:paraId="31D72F0A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TDD specific parameters (</w:t>
            </w:r>
            <w:r w:rsidRPr="004E0BA8">
              <w:rPr>
                <w:sz w:val="18"/>
              </w:rPr>
              <w:t>TTD configuration is in 38.133, section A.3.1.4)</w:t>
            </w:r>
          </w:p>
        </w:tc>
        <w:tc>
          <w:tcPr>
            <w:tcW w:w="5709" w:type="dxa"/>
            <w:vAlign w:val="center"/>
          </w:tcPr>
          <w:p w14:paraId="27347371" w14:textId="77777777" w:rsidR="00E5595A" w:rsidRPr="004E0BA8" w:rsidRDefault="00E5595A" w:rsidP="00E5595A">
            <w:pPr>
              <w:keepNext/>
              <w:keepLines/>
              <w:numPr>
                <w:ilvl w:val="0"/>
                <w:numId w:val="25"/>
              </w:numPr>
              <w:spacing w:after="0" w:line="240" w:lineRule="auto"/>
              <w:rPr>
                <w:sz w:val="18"/>
              </w:rPr>
            </w:pPr>
            <w:r w:rsidRPr="004E0BA8">
              <w:rPr>
                <w:sz w:val="18"/>
              </w:rPr>
              <w:t>TDDConf.1.1 (15 kHz)</w:t>
            </w:r>
          </w:p>
          <w:p w14:paraId="223D839B" w14:textId="77777777" w:rsidR="00E5595A" w:rsidRPr="004E0BA8" w:rsidRDefault="00E5595A" w:rsidP="00E5595A">
            <w:pPr>
              <w:keepNext/>
              <w:keepLines/>
              <w:numPr>
                <w:ilvl w:val="0"/>
                <w:numId w:val="25"/>
              </w:numPr>
              <w:spacing w:after="0" w:line="240" w:lineRule="auto"/>
              <w:rPr>
                <w:rFonts w:eastAsia="Batang"/>
                <w:sz w:val="18"/>
              </w:rPr>
            </w:pPr>
            <w:r w:rsidRPr="004E0BA8">
              <w:rPr>
                <w:sz w:val="18"/>
              </w:rPr>
              <w:t>TDDConf.2.1 (30 kHz)</w:t>
            </w:r>
          </w:p>
          <w:p w14:paraId="2CEE84B6" w14:textId="5B87D381" w:rsidR="00E5595A" w:rsidRPr="004E0BA8" w:rsidRDefault="00E5595A" w:rsidP="00D81828">
            <w:pPr>
              <w:keepNext/>
              <w:keepLines/>
              <w:tabs>
                <w:tab w:val="left" w:pos="432"/>
              </w:tabs>
              <w:spacing w:after="0" w:line="240" w:lineRule="auto"/>
              <w:ind w:left="360"/>
              <w:rPr>
                <w:rFonts w:eastAsia="Batang"/>
                <w:sz w:val="18"/>
              </w:rPr>
            </w:pPr>
          </w:p>
        </w:tc>
      </w:tr>
      <w:tr w:rsidR="00E5595A" w:rsidRPr="004E0BA8" w14:paraId="157ABE6E" w14:textId="77777777" w:rsidTr="00AF1432">
        <w:tc>
          <w:tcPr>
            <w:tcW w:w="3307" w:type="dxa"/>
            <w:vAlign w:val="center"/>
          </w:tcPr>
          <w:p w14:paraId="45D3C9CD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Data and CCH load in PRS symbols</w:t>
            </w:r>
          </w:p>
        </w:tc>
        <w:tc>
          <w:tcPr>
            <w:tcW w:w="5709" w:type="dxa"/>
            <w:vAlign w:val="center"/>
          </w:tcPr>
          <w:p w14:paraId="68F18B52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no other cell transmissions in its positioning symbols, except PRS</w:t>
            </w:r>
          </w:p>
        </w:tc>
      </w:tr>
      <w:tr w:rsidR="00E5595A" w:rsidRPr="004E0BA8" w14:paraId="5899F909" w14:textId="77777777" w:rsidTr="00AF1432">
        <w:tc>
          <w:tcPr>
            <w:tcW w:w="3307" w:type="dxa"/>
            <w:vAlign w:val="center"/>
          </w:tcPr>
          <w:p w14:paraId="20E83C2F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Data and CCH load in non-PRS symbols</w:t>
            </w:r>
          </w:p>
        </w:tc>
        <w:tc>
          <w:tcPr>
            <w:tcW w:w="5709" w:type="dxa"/>
            <w:vAlign w:val="center"/>
          </w:tcPr>
          <w:p w14:paraId="08598FB9" w14:textId="77777777" w:rsidR="00E5595A" w:rsidRPr="004E0BA8" w:rsidRDefault="00E5595A" w:rsidP="00E5595A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50% utilization in time</w:t>
            </w:r>
          </w:p>
          <w:p w14:paraId="6EEB6BF8" w14:textId="77777777" w:rsidR="00E5595A" w:rsidRPr="004E0BA8" w:rsidRDefault="00E5595A" w:rsidP="00E5595A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100% RE utilization</w:t>
            </w:r>
          </w:p>
        </w:tc>
      </w:tr>
      <w:tr w:rsidR="00E5595A" w:rsidRPr="004E0BA8" w14:paraId="32F3A1DE" w14:textId="77777777" w:rsidTr="00AF1432">
        <w:tc>
          <w:tcPr>
            <w:tcW w:w="3307" w:type="dxa"/>
            <w:vAlign w:val="center"/>
          </w:tcPr>
          <w:p w14:paraId="25F3B67F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Cyclic prefix</w:t>
            </w:r>
          </w:p>
        </w:tc>
        <w:tc>
          <w:tcPr>
            <w:tcW w:w="5709" w:type="dxa"/>
            <w:vAlign w:val="center"/>
          </w:tcPr>
          <w:p w14:paraId="11ACF30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Normal</w:t>
            </w:r>
          </w:p>
        </w:tc>
      </w:tr>
      <w:tr w:rsidR="00E5595A" w:rsidRPr="004E0BA8" w14:paraId="1B1D54F7" w14:textId="77777777" w:rsidTr="00AF1432">
        <w:tc>
          <w:tcPr>
            <w:tcW w:w="3307" w:type="dxa"/>
            <w:vAlign w:val="center"/>
          </w:tcPr>
          <w:p w14:paraId="47958B1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DRX</w:t>
            </w:r>
          </w:p>
        </w:tc>
        <w:tc>
          <w:tcPr>
            <w:tcW w:w="5709" w:type="dxa"/>
            <w:vAlign w:val="center"/>
          </w:tcPr>
          <w:p w14:paraId="4F055867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OFF</w:t>
            </w:r>
          </w:p>
        </w:tc>
      </w:tr>
      <w:tr w:rsidR="00E5595A" w:rsidRPr="004E0BA8" w14:paraId="2CAFBE5A" w14:textId="77777777" w:rsidTr="00AF1432">
        <w:trPr>
          <w:trHeight w:val="1327"/>
        </w:trPr>
        <w:tc>
          <w:tcPr>
            <w:tcW w:w="3307" w:type="dxa"/>
            <w:vAlign w:val="center"/>
          </w:tcPr>
          <w:p w14:paraId="4F5150A3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Carrier frequency</w:t>
            </w:r>
            <w:r w:rsidRPr="004E0BA8" w:rsidDel="00D073E4">
              <w:rPr>
                <w:rFonts w:eastAsia="Batang"/>
                <w:sz w:val="18"/>
              </w:rPr>
              <w:t xml:space="preserve"> </w:t>
            </w:r>
            <w:r w:rsidRPr="004E0BA8">
              <w:rPr>
                <w:rFonts w:eastAsia="Batang"/>
                <w:sz w:val="18"/>
              </w:rPr>
              <w:t>/ BW / SCS / duplex mode</w:t>
            </w:r>
          </w:p>
        </w:tc>
        <w:tc>
          <w:tcPr>
            <w:tcW w:w="5709" w:type="dxa"/>
            <w:vAlign w:val="center"/>
          </w:tcPr>
          <w:p w14:paraId="7D8F4CEF" w14:textId="77777777" w:rsidR="00E5595A" w:rsidRPr="004E0BA8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173" w:hanging="142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2 GHz</w:t>
            </w:r>
          </w:p>
          <w:p w14:paraId="7D877737" w14:textId="77777777" w:rsidR="00E5595A" w:rsidRPr="004E0BA8" w:rsidRDefault="00E5595A" w:rsidP="00144F55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15 kHz</w:t>
            </w:r>
          </w:p>
          <w:p w14:paraId="50F565B3" w14:textId="77777777" w:rsidR="00E5595A" w:rsidRPr="004E0BA8" w:rsidRDefault="00E5595A" w:rsidP="00144F55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FDD, TDD</w:t>
            </w:r>
          </w:p>
          <w:p w14:paraId="714B7371" w14:textId="77777777" w:rsidR="00E5595A" w:rsidRPr="004E0BA8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4 GHz</w:t>
            </w:r>
          </w:p>
          <w:p w14:paraId="7698BA12" w14:textId="44F3715A" w:rsidR="00E5595A" w:rsidRPr="004E0BA8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30 kHz</w:t>
            </w:r>
            <w:r w:rsidR="002A4CE1">
              <w:rPr>
                <w:rFonts w:eastAsia="Batang"/>
                <w:sz w:val="18"/>
              </w:rPr>
              <w:t>, 60 kHz</w:t>
            </w:r>
          </w:p>
          <w:p w14:paraId="5C2746D7" w14:textId="77777777" w:rsidR="00E5595A" w:rsidRPr="004E0BA8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FDD, TDD</w:t>
            </w:r>
          </w:p>
          <w:p w14:paraId="2BDF32E1" w14:textId="1A3F06D8" w:rsidR="00E5595A" w:rsidRPr="004E0BA8" w:rsidRDefault="00E5595A" w:rsidP="00E052A3">
            <w:pPr>
              <w:keepNext/>
              <w:keepLines/>
              <w:spacing w:after="0" w:line="240" w:lineRule="auto"/>
              <w:ind w:left="720"/>
              <w:rPr>
                <w:rFonts w:eastAsia="Batang"/>
                <w:sz w:val="18"/>
              </w:rPr>
            </w:pPr>
          </w:p>
        </w:tc>
      </w:tr>
      <w:tr w:rsidR="00E5595A" w:rsidRPr="004E0BA8" w14:paraId="270F39A5" w14:textId="77777777" w:rsidTr="00AF1432">
        <w:tc>
          <w:tcPr>
            <w:tcW w:w="3307" w:type="dxa"/>
            <w:vMerge w:val="restart"/>
            <w:vAlign w:val="center"/>
          </w:tcPr>
          <w:p w14:paraId="6D2649A6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5709" w:type="dxa"/>
            <w:vAlign w:val="center"/>
          </w:tcPr>
          <w:p w14:paraId="70E46607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sz w:val="18"/>
                <w:lang w:val="en-US"/>
              </w:rPr>
              <w:t>For RSTD, PRS-RSRP and UE Rx-Tx:</w:t>
            </w:r>
          </w:p>
          <w:p w14:paraId="052B1D26" w14:textId="77777777" w:rsidR="00E5595A" w:rsidRPr="002A4CE1" w:rsidRDefault="00E5595A" w:rsidP="002A4CE1">
            <w:pPr>
              <w:pStyle w:val="ListParagraph"/>
              <w:framePr w:hSpace="0" w:wrap="auto" w:vAnchor="margin" w:xAlign="left" w:yAlign="inline"/>
              <w:suppressOverlap w:val="0"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 xml:space="preserve">AWGN, </w:t>
            </w:r>
          </w:p>
          <w:p w14:paraId="2FBCAC36" w14:textId="77777777" w:rsidR="00E5595A" w:rsidRPr="002A4CE1" w:rsidRDefault="00E5595A" w:rsidP="002A4CE1">
            <w:pPr>
              <w:pStyle w:val="ListParagraph"/>
              <w:framePr w:hSpace="0" w:wrap="auto" w:vAnchor="margin" w:xAlign="left" w:yAlign="inline"/>
              <w:suppressOverlap w:val="0"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 xml:space="preserve">TDL-A (30 ns delay spread, 5Hz), </w:t>
            </w:r>
          </w:p>
          <w:p w14:paraId="305B8B49" w14:textId="77777777" w:rsidR="002A4CE1" w:rsidRPr="002A4CE1" w:rsidRDefault="00E5595A" w:rsidP="002A4CE1">
            <w:pPr>
              <w:pStyle w:val="ListParagraph"/>
              <w:framePr w:hSpace="0" w:wrap="auto" w:vAnchor="margin" w:xAlign="left" w:yAlign="inline"/>
              <w:suppressOverlap w:val="0"/>
              <w:rPr>
                <w:sz w:val="18"/>
                <w:szCs w:val="18"/>
                <w:lang w:val="en-US"/>
              </w:rPr>
            </w:pPr>
            <w:r w:rsidRPr="002A4CE1">
              <w:rPr>
                <w:sz w:val="18"/>
                <w:szCs w:val="18"/>
                <w:lang w:val="en-US"/>
              </w:rPr>
              <w:t>TDL-B (100 ns delay spread, 200Hz)</w:t>
            </w:r>
            <w:r w:rsidR="002A4CE1" w:rsidRPr="002A4CE1">
              <w:rPr>
                <w:sz w:val="18"/>
                <w:szCs w:val="18"/>
                <w:lang w:val="en-US"/>
              </w:rPr>
              <w:t>,</w:t>
            </w:r>
          </w:p>
          <w:p w14:paraId="742769B5" w14:textId="165B604D" w:rsidR="00E5595A" w:rsidRPr="00263847" w:rsidRDefault="002A4CE1" w:rsidP="002A4CE1">
            <w:pPr>
              <w:pStyle w:val="ListParagraph"/>
              <w:framePr w:hSpace="0" w:wrap="auto" w:vAnchor="margin" w:xAlign="left" w:yAlign="inline"/>
              <w:suppressOverlap w:val="0"/>
              <w:rPr>
                <w:lang w:val="en-US"/>
              </w:rPr>
            </w:pPr>
            <w:r w:rsidRPr="00263847">
              <w:rPr>
                <w:rFonts w:eastAsia="Batang"/>
                <w:sz w:val="18"/>
                <w:lang w:val="en-US"/>
              </w:rPr>
              <w:t>TDL-C (300 ns delay spread, 100 Hz)</w:t>
            </w:r>
            <w:r w:rsidR="00257418">
              <w:rPr>
                <w:lang w:val="en-US"/>
              </w:rPr>
              <w:t>.</w:t>
            </w:r>
          </w:p>
        </w:tc>
      </w:tr>
      <w:tr w:rsidR="00E5595A" w:rsidRPr="004E0BA8" w14:paraId="1C5A20D2" w14:textId="77777777" w:rsidTr="00AF1432">
        <w:tc>
          <w:tcPr>
            <w:tcW w:w="3307" w:type="dxa"/>
            <w:vMerge/>
            <w:vAlign w:val="center"/>
          </w:tcPr>
          <w:p w14:paraId="0E233035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  <w:tc>
          <w:tcPr>
            <w:tcW w:w="5709" w:type="dxa"/>
            <w:vAlign w:val="center"/>
          </w:tcPr>
          <w:p w14:paraId="76FD1CBE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sz w:val="18"/>
                <w:lang w:val="en-US"/>
              </w:rPr>
              <w:t>For PRS-RSRPP:</w:t>
            </w:r>
          </w:p>
          <w:p w14:paraId="6744ADC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sz w:val="18"/>
                <w:lang w:val="en-US"/>
              </w:rPr>
              <w:t>Two-tap channel</w:t>
            </w:r>
            <w:r w:rsidRPr="004E0BA8">
              <w:rPr>
                <w:sz w:val="20"/>
              </w:rPr>
              <w:t xml:space="preserve"> </w:t>
            </w:r>
            <w:r w:rsidRPr="004E0BA8">
              <w:rPr>
                <w:rFonts w:eastAsia="Batang"/>
                <w:sz w:val="18"/>
                <w:lang w:val="en-US"/>
              </w:rPr>
              <w:t xml:space="preserve">defined in 38.101-4 Annex B.2.4, </w:t>
            </w:r>
          </w:p>
          <w:p w14:paraId="50CB2513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 w:rsidRPr="004E0BA8">
              <w:rPr>
                <w:rFonts w:eastAsia="Batang"/>
                <w:bCs/>
                <w:i/>
                <w:sz w:val="18"/>
                <w:lang w:val="en-US"/>
              </w:rPr>
              <w:t xml:space="preserve">a </w:t>
            </w:r>
            <w:r w:rsidRPr="004E0BA8">
              <w:rPr>
                <w:rFonts w:eastAsia="Batang"/>
                <w:bCs/>
                <w:iCs/>
                <w:sz w:val="18"/>
                <w:lang w:val="en-US"/>
              </w:rPr>
              <w:t xml:space="preserve">= 1,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=0.45</m:t>
              </m:r>
            </m:oMath>
            <w:r w:rsidRPr="004E0BA8">
              <w:rPr>
                <w:rFonts w:eastAsia="Batang"/>
                <w:bCs/>
                <w:sz w:val="18"/>
                <w:lang w:val="en-US"/>
              </w:rPr>
              <w:t xml:space="preserve"> µs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lang w:val="en-US"/>
                </w:rPr>
                <m:t>=5</m:t>
              </m:r>
            </m:oMath>
            <w:r w:rsidRPr="004E0BA8">
              <w:rPr>
                <w:rFonts w:eastAsia="Batang"/>
                <w:bCs/>
                <w:sz w:val="18"/>
                <w:lang w:val="en-US"/>
              </w:rPr>
              <w:t xml:space="preserve"> Hz</w:t>
            </w:r>
          </w:p>
        </w:tc>
      </w:tr>
      <w:tr w:rsidR="00AF1432" w:rsidRPr="004E0BA8" w14:paraId="67379FC6" w14:textId="77777777" w:rsidTr="00AF1432">
        <w:trPr>
          <w:trHeight w:val="245"/>
        </w:trPr>
        <w:tc>
          <w:tcPr>
            <w:tcW w:w="3307" w:type="dxa"/>
            <w:vMerge w:val="restart"/>
            <w:vAlign w:val="center"/>
          </w:tcPr>
          <w:p w14:paraId="48A9E6BD" w14:textId="77777777" w:rsidR="00AF1432" w:rsidRPr="004E0BA8" w:rsidRDefault="00AF1432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sz w:val="18"/>
                <w:lang w:eastAsia="zh-CN"/>
              </w:rPr>
              <w:t xml:space="preserve">Es/Iot </w:t>
            </w:r>
            <w:r w:rsidRPr="004E0BA8">
              <w:rPr>
                <w:rFonts w:eastAsia="Batang"/>
                <w:sz w:val="18"/>
              </w:rPr>
              <w:t>for three cells (cell 1, cell 2, cell 3), [dB]</w:t>
            </w:r>
          </w:p>
        </w:tc>
        <w:tc>
          <w:tcPr>
            <w:tcW w:w="5709" w:type="dxa"/>
            <w:vAlign w:val="center"/>
          </w:tcPr>
          <w:p w14:paraId="2A75B96B" w14:textId="74359F39" w:rsidR="00AF1432" w:rsidRPr="001C0FFC" w:rsidRDefault="00AF1432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1C0FFC">
              <w:rPr>
                <w:rFonts w:eastAsia="Batang"/>
                <w:sz w:val="18"/>
              </w:rPr>
              <w:t>AWGN (reuse Rel. 17 side conditions):</w:t>
            </w:r>
          </w:p>
          <w:p w14:paraId="3905C152" w14:textId="66176475" w:rsidR="00AF1432" w:rsidRPr="002A4CE1" w:rsidRDefault="00AF1432" w:rsidP="002A4CE1">
            <w:pPr>
              <w:pStyle w:val="ListParagraph"/>
              <w:framePr w:hSpace="0" w:wrap="auto" w:vAnchor="margin" w:xAlign="left" w:yAlign="inline"/>
              <w:numPr>
                <w:ilvl w:val="0"/>
                <w:numId w:val="32"/>
              </w:numPr>
              <w:suppressOverlap w:val="0"/>
              <w:rPr>
                <w:sz w:val="18"/>
                <w:szCs w:val="18"/>
              </w:rPr>
            </w:pPr>
            <w:r w:rsidRPr="002A4CE1">
              <w:rPr>
                <w:sz w:val="18"/>
                <w:szCs w:val="18"/>
              </w:rPr>
              <w:t>RSTD: (-6, -13, -13), for N</w:t>
            </w:r>
            <w:r w:rsidRPr="002A4CE1">
              <w:rPr>
                <w:sz w:val="18"/>
                <w:szCs w:val="18"/>
                <w:vertAlign w:val="subscript"/>
              </w:rPr>
              <w:t>sample</w:t>
            </w:r>
            <w:r w:rsidRPr="002A4CE1">
              <w:rPr>
                <w:sz w:val="18"/>
                <w:szCs w:val="18"/>
              </w:rPr>
              <w:t xml:space="preserve"> = 4</w:t>
            </w:r>
          </w:p>
          <w:p w14:paraId="2CD62668" w14:textId="77777777" w:rsidR="00AF1432" w:rsidRPr="002A4CE1" w:rsidRDefault="00AF1432" w:rsidP="002A4CE1">
            <w:pPr>
              <w:pStyle w:val="ListParagraph"/>
              <w:framePr w:hSpace="0" w:wrap="auto" w:vAnchor="margin" w:xAlign="left" w:yAlign="inline"/>
              <w:numPr>
                <w:ilvl w:val="0"/>
                <w:numId w:val="32"/>
              </w:numPr>
              <w:suppressOverlap w:val="0"/>
              <w:rPr>
                <w:sz w:val="18"/>
                <w:szCs w:val="18"/>
              </w:rPr>
            </w:pPr>
            <w:r w:rsidRPr="002A4CE1">
              <w:rPr>
                <w:sz w:val="18"/>
                <w:szCs w:val="18"/>
              </w:rPr>
              <w:t>UE Rx-Tx/PRS-RSRP/PRS-RSRPP: (-3, -13, -13), for N</w:t>
            </w:r>
            <w:r w:rsidRPr="002A4CE1">
              <w:rPr>
                <w:sz w:val="18"/>
                <w:szCs w:val="18"/>
                <w:vertAlign w:val="subscript"/>
              </w:rPr>
              <w:t>sample</w:t>
            </w:r>
            <w:r w:rsidRPr="002A4CE1">
              <w:rPr>
                <w:sz w:val="18"/>
                <w:szCs w:val="18"/>
              </w:rPr>
              <w:t xml:space="preserve"> = 4</w:t>
            </w:r>
          </w:p>
          <w:p w14:paraId="2E8C1F6D" w14:textId="77777777" w:rsidR="00AF1432" w:rsidRPr="002A4CE1" w:rsidRDefault="00AF1432" w:rsidP="002A4CE1">
            <w:pPr>
              <w:pStyle w:val="ListParagraph"/>
              <w:framePr w:hSpace="0" w:wrap="auto" w:vAnchor="margin" w:xAlign="left" w:yAlign="inline"/>
              <w:numPr>
                <w:ilvl w:val="0"/>
                <w:numId w:val="33"/>
              </w:numPr>
              <w:suppressOverlap w:val="0"/>
              <w:rPr>
                <w:sz w:val="18"/>
                <w:szCs w:val="18"/>
              </w:rPr>
            </w:pPr>
            <w:r w:rsidRPr="002A4CE1">
              <w:rPr>
                <w:sz w:val="18"/>
                <w:szCs w:val="18"/>
              </w:rPr>
              <w:lastRenderedPageBreak/>
              <w:t>RSTD: (-3, -6, -6), for N</w:t>
            </w:r>
            <w:r w:rsidRPr="002A4CE1">
              <w:rPr>
                <w:sz w:val="18"/>
                <w:szCs w:val="18"/>
                <w:vertAlign w:val="subscript"/>
              </w:rPr>
              <w:t>sample</w:t>
            </w:r>
            <w:r w:rsidRPr="002A4CE1">
              <w:rPr>
                <w:sz w:val="18"/>
                <w:szCs w:val="18"/>
              </w:rPr>
              <w:t xml:space="preserve"> = 1</w:t>
            </w:r>
          </w:p>
          <w:p w14:paraId="509E628D" w14:textId="77777777" w:rsidR="00AF1432" w:rsidRPr="001C0FFC" w:rsidRDefault="00AF1432" w:rsidP="002A4CE1">
            <w:pPr>
              <w:pStyle w:val="ListParagraph"/>
              <w:framePr w:hSpace="0" w:wrap="auto" w:vAnchor="margin" w:xAlign="left" w:yAlign="inline"/>
              <w:numPr>
                <w:ilvl w:val="0"/>
                <w:numId w:val="33"/>
              </w:numPr>
              <w:suppressOverlap w:val="0"/>
            </w:pPr>
            <w:r w:rsidRPr="002A4CE1">
              <w:rPr>
                <w:sz w:val="18"/>
                <w:szCs w:val="18"/>
              </w:rPr>
              <w:t>UE Rx-Tx/PRS-RSRP/PRS-RSRPP: (0, -6, -6), for N</w:t>
            </w:r>
            <w:r w:rsidRPr="002A4CE1">
              <w:rPr>
                <w:sz w:val="18"/>
                <w:szCs w:val="18"/>
                <w:vertAlign w:val="subscript"/>
              </w:rPr>
              <w:t>sample</w:t>
            </w:r>
            <w:r w:rsidRPr="002A4CE1">
              <w:rPr>
                <w:sz w:val="18"/>
                <w:szCs w:val="18"/>
              </w:rPr>
              <w:t xml:space="preserve"> = 1</w:t>
            </w:r>
          </w:p>
        </w:tc>
      </w:tr>
      <w:tr w:rsidR="00AF1432" w:rsidRPr="004E0BA8" w14:paraId="1025CA86" w14:textId="77777777" w:rsidTr="00AF1432">
        <w:trPr>
          <w:trHeight w:val="244"/>
        </w:trPr>
        <w:tc>
          <w:tcPr>
            <w:tcW w:w="3307" w:type="dxa"/>
            <w:vMerge/>
            <w:vAlign w:val="center"/>
          </w:tcPr>
          <w:p w14:paraId="28DE9881" w14:textId="77777777" w:rsidR="00AF1432" w:rsidRPr="004E0BA8" w:rsidRDefault="00AF1432" w:rsidP="00E052A3">
            <w:pPr>
              <w:keepNext/>
              <w:keepLines/>
              <w:spacing w:after="0"/>
              <w:rPr>
                <w:sz w:val="18"/>
                <w:lang w:eastAsia="zh-CN"/>
              </w:rPr>
            </w:pPr>
          </w:p>
        </w:tc>
        <w:tc>
          <w:tcPr>
            <w:tcW w:w="5709" w:type="dxa"/>
            <w:vAlign w:val="center"/>
          </w:tcPr>
          <w:p w14:paraId="7E0880D3" w14:textId="51712E18" w:rsidR="00FA171E" w:rsidRPr="001C0FFC" w:rsidRDefault="00AF1432" w:rsidP="00FA171E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1C0FFC">
              <w:rPr>
                <w:rFonts w:eastAsia="Batang"/>
                <w:sz w:val="18"/>
              </w:rPr>
              <w:t>Fading channels:</w:t>
            </w:r>
          </w:p>
          <w:p w14:paraId="2DC5142F" w14:textId="77777777" w:rsidR="00AF1432" w:rsidRPr="002A4CE1" w:rsidRDefault="00AF1432" w:rsidP="002A4CE1">
            <w:pPr>
              <w:pStyle w:val="ListParagraph"/>
              <w:framePr w:hSpace="0" w:wrap="auto" w:vAnchor="margin" w:xAlign="left" w:yAlign="inline"/>
              <w:numPr>
                <w:ilvl w:val="0"/>
                <w:numId w:val="34"/>
              </w:numPr>
              <w:suppressOverlap w:val="0"/>
              <w:rPr>
                <w:sz w:val="18"/>
                <w:szCs w:val="18"/>
              </w:rPr>
            </w:pPr>
            <w:r w:rsidRPr="002A4CE1">
              <w:rPr>
                <w:sz w:val="18"/>
                <w:szCs w:val="18"/>
              </w:rPr>
              <w:t>Higher side condition than in Rel. 17</w:t>
            </w:r>
            <w:r w:rsidR="001A005E" w:rsidRPr="002A4CE1">
              <w:rPr>
                <w:sz w:val="18"/>
                <w:szCs w:val="18"/>
              </w:rPr>
              <w:t xml:space="preserve"> targeting approximately Rel. 17 accuracy requirements</w:t>
            </w:r>
            <w:r w:rsidR="00FA171E" w:rsidRPr="002A4CE1">
              <w:rPr>
                <w:sz w:val="18"/>
                <w:szCs w:val="18"/>
              </w:rPr>
              <w:t>.</w:t>
            </w:r>
          </w:p>
          <w:p w14:paraId="7E8D5C95" w14:textId="6D50937A" w:rsidR="00FA171E" w:rsidRPr="001C0FFC" w:rsidRDefault="00FA171E" w:rsidP="002A4CE1">
            <w:pPr>
              <w:pStyle w:val="ListParagraph"/>
              <w:framePr w:hSpace="0" w:wrap="auto" w:vAnchor="margin" w:xAlign="left" w:yAlign="inline"/>
              <w:numPr>
                <w:ilvl w:val="0"/>
                <w:numId w:val="34"/>
              </w:numPr>
              <w:suppressOverlap w:val="0"/>
            </w:pPr>
            <w:r w:rsidRPr="002A4CE1">
              <w:rPr>
                <w:sz w:val="18"/>
                <w:szCs w:val="18"/>
              </w:rPr>
              <w:t>Companies are encouraged to simulat</w:t>
            </w:r>
            <w:r w:rsidR="001C0FFC" w:rsidRPr="002A4CE1">
              <w:rPr>
                <w:sz w:val="18"/>
                <w:szCs w:val="18"/>
              </w:rPr>
              <w:t>e</w:t>
            </w:r>
            <w:r w:rsidRPr="002A4CE1">
              <w:rPr>
                <w:sz w:val="18"/>
                <w:szCs w:val="18"/>
              </w:rPr>
              <w:t xml:space="preserve"> larger variations of side conditions </w:t>
            </w:r>
            <w:proofErr w:type="gramStart"/>
            <w:r w:rsidRPr="002A4CE1">
              <w:rPr>
                <w:sz w:val="18"/>
                <w:szCs w:val="18"/>
              </w:rPr>
              <w:t>in order to</w:t>
            </w:r>
            <w:proofErr w:type="gramEnd"/>
            <w:r w:rsidRPr="002A4CE1">
              <w:rPr>
                <w:sz w:val="18"/>
                <w:szCs w:val="18"/>
              </w:rPr>
              <w:t xml:space="preserve"> identify suitable side conditions for the requirement.</w:t>
            </w:r>
          </w:p>
        </w:tc>
      </w:tr>
      <w:tr w:rsidR="00E5595A" w:rsidRPr="004E0BA8" w14:paraId="3A8871E9" w14:textId="77777777" w:rsidTr="00AF1432">
        <w:tc>
          <w:tcPr>
            <w:tcW w:w="3307" w:type="dxa"/>
            <w:vAlign w:val="center"/>
          </w:tcPr>
          <w:p w14:paraId="5BF965FD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5709" w:type="dxa"/>
            <w:vAlign w:val="center"/>
          </w:tcPr>
          <w:p w14:paraId="09CA8CCE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sz w:val="18"/>
              </w:rPr>
              <w:t>1 rx</w:t>
            </w:r>
          </w:p>
        </w:tc>
      </w:tr>
      <w:tr w:rsidR="00E5595A" w:rsidRPr="004E0BA8" w14:paraId="5B44ECE5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1F86BE87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5709" w:type="dxa"/>
            <w:vAlign w:val="center"/>
          </w:tcPr>
          <w:p w14:paraId="0F481471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Full carrier bandwidth</w:t>
            </w:r>
          </w:p>
        </w:tc>
      </w:tr>
      <w:tr w:rsidR="00E5595A" w:rsidRPr="004E0BA8" w14:paraId="603AD59F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7E40EFB8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5709" w:type="dxa"/>
            <w:vAlign w:val="center"/>
          </w:tcPr>
          <w:p w14:paraId="1C39609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E5595A" w:rsidRPr="004E0BA8" w14:paraId="4D7AA8F7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4C221605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5709" w:type="dxa"/>
            <w:vAlign w:val="center"/>
          </w:tcPr>
          <w:p w14:paraId="52B38ED0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E5595A" w:rsidRPr="004E0BA8" w14:paraId="2E11A452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75B0D8AE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5709" w:type="dxa"/>
            <w:vAlign w:val="center"/>
          </w:tcPr>
          <w:p w14:paraId="1C7579F5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>1 (including all PRS resource repetitions)</w:t>
            </w:r>
          </w:p>
          <w:p w14:paraId="61D47176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E5595A" w:rsidRPr="004E0BA8" w14:paraId="5CCAA7AC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75D9993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sz w:val="18"/>
                <w:szCs w:val="18"/>
                <w:lang w:eastAsia="x-none"/>
              </w:rPr>
              <w:t>PRS muting</w:t>
            </w:r>
          </w:p>
        </w:tc>
        <w:tc>
          <w:tcPr>
            <w:tcW w:w="5709" w:type="dxa"/>
            <w:vAlign w:val="center"/>
          </w:tcPr>
          <w:p w14:paraId="37D761AB" w14:textId="215D1DC3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  <w:lang w:val="en-US"/>
              </w:rPr>
              <w:t>No muting, muting (</w:t>
            </w:r>
            <w:r w:rsidR="001D12AB" w:rsidRPr="004E0BA8">
              <w:rPr>
                <w:rFonts w:eastAsia="Batang"/>
                <w:sz w:val="18"/>
                <w:szCs w:val="18"/>
                <w:lang w:val="en-US"/>
              </w:rPr>
              <w:t>comb 2</w:t>
            </w:r>
            <w:r w:rsidRPr="004E0BA8">
              <w:rPr>
                <w:rFonts w:eastAsia="Batang"/>
                <w:sz w:val="18"/>
                <w:szCs w:val="18"/>
                <w:lang w:val="en-US"/>
              </w:rPr>
              <w:t xml:space="preserve">) </w:t>
            </w:r>
          </w:p>
        </w:tc>
      </w:tr>
      <w:tr w:rsidR="00E5595A" w:rsidRPr="004E0BA8" w14:paraId="3905150B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658F676B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5709" w:type="dxa"/>
            <w:vAlign w:val="center"/>
          </w:tcPr>
          <w:p w14:paraId="497F7054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E5595A" w:rsidRPr="004E0BA8" w14:paraId="718BA6C2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13050843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sz w:val="18"/>
                <w:szCs w:val="18"/>
                <w:lang w:eastAsia="x-none"/>
              </w:rPr>
              <w:t>ExpectedRSTD-Uncertainty</w:t>
            </w:r>
            <w:r w:rsidRPr="004E0BA8">
              <w:rPr>
                <w:sz w:val="18"/>
                <w:szCs w:val="18"/>
                <w:vertAlign w:val="superscript"/>
                <w:lang w:eastAsia="x-none"/>
              </w:rPr>
              <w:t>NOTE 2</w:t>
            </w:r>
          </w:p>
        </w:tc>
        <w:tc>
          <w:tcPr>
            <w:tcW w:w="5709" w:type="dxa"/>
            <w:vAlign w:val="center"/>
          </w:tcPr>
          <w:p w14:paraId="431AADD5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  <w:szCs w:val="18"/>
                <w:lang w:val="en-US"/>
              </w:rPr>
              <w:t>5 us (15 kHz), 2.5 us (30 kHz)</w:t>
            </w:r>
          </w:p>
        </w:tc>
      </w:tr>
      <w:tr w:rsidR="00E5595A" w:rsidRPr="004E0BA8" w14:paraId="1698EA7C" w14:textId="77777777" w:rsidTr="00AF1432">
        <w:tc>
          <w:tcPr>
            <w:tcW w:w="9016" w:type="dxa"/>
            <w:gridSpan w:val="2"/>
            <w:vAlign w:val="center"/>
          </w:tcPr>
          <w:p w14:paraId="15894D46" w14:textId="77777777" w:rsidR="00E5595A" w:rsidRPr="004E0BA8" w:rsidRDefault="00E5595A" w:rsidP="00E052A3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 w:rsidRPr="004E0BA8">
              <w:rPr>
                <w:rFonts w:eastAsia="Batang"/>
                <w:sz w:val="18"/>
              </w:rPr>
              <w:t xml:space="preserve">NOTE 1: </w:t>
            </w:r>
            <w:r w:rsidRPr="004E0BA8">
              <w:rPr>
                <w:snapToGrid w:val="0"/>
                <w:sz w:val="18"/>
                <w:szCs w:val="18"/>
              </w:rPr>
              <w:t>nr-DL-PRS-ReferenceInfo</w:t>
            </w:r>
            <w:r w:rsidRPr="004E0BA8">
              <w:rPr>
                <w:sz w:val="16"/>
                <w:szCs w:val="16"/>
              </w:rPr>
              <w:t xml:space="preserve"> </w:t>
            </w:r>
            <w:r w:rsidRPr="004E0BA8">
              <w:rPr>
                <w:sz w:val="18"/>
                <w:szCs w:val="18"/>
              </w:rPr>
              <w:t xml:space="preserve">is a member of </w:t>
            </w:r>
            <w:r w:rsidRPr="004E0BA8">
              <w:rPr>
                <w:snapToGrid w:val="0"/>
                <w:sz w:val="18"/>
                <w:szCs w:val="18"/>
              </w:rPr>
              <w:t>NR-DL-PRS-AssistanceData which is a common NR positioning IE applicable to all positioning methods (see clause 6.4.3 of TS 37.355).</w:t>
            </w:r>
          </w:p>
          <w:p w14:paraId="4F664661" w14:textId="77777777" w:rsidR="00E5595A" w:rsidRPr="004E0BA8" w:rsidRDefault="00E5595A" w:rsidP="00E052A3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 w:rsidRPr="004E0BA8">
              <w:rPr>
                <w:rFonts w:eastAsia="Batang"/>
                <w:sz w:val="18"/>
                <w:szCs w:val="18"/>
                <w:lang w:val="en-US"/>
              </w:rPr>
              <w:t xml:space="preserve">NOTE 2: </w:t>
            </w:r>
            <w:r w:rsidRPr="004E0BA8">
              <w:rPr>
                <w:sz w:val="18"/>
                <w:szCs w:val="18"/>
              </w:rPr>
              <w:t xml:space="preserve">nr-DL-PRS-expectedRSTD-uncerainty is a member of </w:t>
            </w:r>
            <w:r w:rsidRPr="004E0BA8">
              <w:rPr>
                <w:snapToGrid w:val="0"/>
                <w:sz w:val="18"/>
                <w:szCs w:val="18"/>
              </w:rPr>
              <w:t>NR-DL-PRS-AssistanceData which is a common NR positioning IE applicable to all positioning methods</w:t>
            </w:r>
            <w:r w:rsidRPr="004E0BA8">
              <w:rPr>
                <w:sz w:val="20"/>
              </w:rPr>
              <w:t xml:space="preserve"> </w:t>
            </w:r>
            <w:r w:rsidRPr="004E0BA8">
              <w:rPr>
                <w:snapToGrid w:val="0"/>
                <w:sz w:val="18"/>
                <w:szCs w:val="18"/>
              </w:rPr>
              <w:t>(see clause 6.4.3 of TS 37.355).</w:t>
            </w:r>
          </w:p>
          <w:p w14:paraId="21A6C9D0" w14:textId="77777777" w:rsidR="00E5595A" w:rsidRPr="004E0BA8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NOTE 3: Companies are encouraged to check suitability of the parameters and the values.</w:t>
            </w:r>
          </w:p>
        </w:tc>
      </w:tr>
    </w:tbl>
    <w:p w14:paraId="03685A30" w14:textId="77777777" w:rsidR="00E5595A" w:rsidRPr="004E0BA8" w:rsidRDefault="00E5595A" w:rsidP="00E5595A">
      <w:pPr>
        <w:keepNext/>
        <w:keepLines/>
        <w:spacing w:before="60"/>
        <w:jc w:val="center"/>
        <w:rPr>
          <w:b/>
          <w:sz w:val="20"/>
        </w:rPr>
      </w:pPr>
    </w:p>
    <w:p w14:paraId="55588D52" w14:textId="77777777" w:rsidR="00E5595A" w:rsidRPr="004E0BA8" w:rsidRDefault="00E5595A" w:rsidP="00E5595A">
      <w:pPr>
        <w:keepNext/>
        <w:keepLines/>
        <w:spacing w:before="60"/>
        <w:jc w:val="center"/>
        <w:rPr>
          <w:b/>
          <w:sz w:val="20"/>
          <w:lang w:val="en-US"/>
        </w:rPr>
      </w:pPr>
      <w:r w:rsidRPr="004E0BA8">
        <w:rPr>
          <w:b/>
          <w:sz w:val="20"/>
        </w:rPr>
        <w:t xml:space="preserve">Table </w:t>
      </w:r>
      <w:r w:rsidRPr="004E0BA8">
        <w:rPr>
          <w:b/>
          <w:sz w:val="20"/>
          <w:lang w:val="en-US" w:eastAsia="zh-CN"/>
        </w:rPr>
        <w:t>2</w:t>
      </w:r>
      <w:r w:rsidRPr="004E0BA8">
        <w:rPr>
          <w:b/>
          <w:sz w:val="20"/>
          <w:lang w:eastAsia="zh-CN"/>
        </w:rPr>
        <w:t>:</w:t>
      </w:r>
      <w:r w:rsidRPr="004E0BA8">
        <w:rPr>
          <w:b/>
          <w:sz w:val="20"/>
        </w:rPr>
        <w:t xml:space="preserve"> </w:t>
      </w:r>
      <w:r w:rsidRPr="004E0BA8">
        <w:rPr>
          <w:b/>
          <w:sz w:val="20"/>
          <w:lang w:val="en-US"/>
        </w:rPr>
        <w:t>PRS transmission configuration parameters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175"/>
        <w:gridCol w:w="1083"/>
        <w:gridCol w:w="905"/>
        <w:gridCol w:w="1617"/>
        <w:gridCol w:w="1581"/>
      </w:tblGrid>
      <w:tr w:rsidR="00E5595A" w:rsidRPr="004E0BA8" w14:paraId="6B84E437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4132713C" w14:textId="77777777" w:rsidR="00E5595A" w:rsidRPr="004E0BA8" w:rsidRDefault="00E5595A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P</w:t>
            </w:r>
            <w:r w:rsidRPr="004E0BA8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472EDA98" w14:textId="77777777" w:rsidR="00E5595A" w:rsidRPr="004E0BA8" w:rsidRDefault="00E5595A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V</w:t>
            </w:r>
            <w:r w:rsidRPr="004E0BA8">
              <w:rPr>
                <w:b/>
                <w:sz w:val="18"/>
                <w:szCs w:val="18"/>
              </w:rPr>
              <w:t>alue</w:t>
            </w:r>
          </w:p>
        </w:tc>
      </w:tr>
      <w:tr w:rsidR="00C679A3" w:rsidRPr="004E0BA8" w14:paraId="52438F73" w14:textId="77777777" w:rsidTr="00E052A3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6433FA81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4E0BA8"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shd w:val="clear" w:color="auto" w:fill="auto"/>
          </w:tcPr>
          <w:p w14:paraId="391E0FB0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S</w:t>
            </w:r>
            <w:r w:rsidRPr="004E0BA8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514CB132" w14:textId="77777777" w:rsidR="00C679A3" w:rsidRPr="004E0BA8" w:rsidRDefault="00C679A3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R</w:t>
            </w:r>
            <w:r w:rsidRPr="004E0BA8">
              <w:rPr>
                <w:b/>
                <w:sz w:val="18"/>
                <w:szCs w:val="18"/>
              </w:rPr>
              <w:t>B num</w:t>
            </w:r>
          </w:p>
        </w:tc>
        <w:tc>
          <w:tcPr>
            <w:tcW w:w="0" w:type="auto"/>
            <w:shd w:val="clear" w:color="auto" w:fill="auto"/>
          </w:tcPr>
          <w:p w14:paraId="0636B857" w14:textId="77777777" w:rsidR="00C679A3" w:rsidRPr="004E0BA8" w:rsidRDefault="00C679A3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b/>
                <w:sz w:val="18"/>
                <w:szCs w:val="18"/>
              </w:rPr>
              <w:t>R</w:t>
            </w:r>
            <w:r w:rsidRPr="004E0BA8">
              <w:rPr>
                <w:rFonts w:hint="eastAsia"/>
                <w:b/>
                <w:sz w:val="18"/>
                <w:szCs w:val="18"/>
              </w:rPr>
              <w:t>e</w:t>
            </w:r>
            <w:r w:rsidRPr="004E0BA8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0" w:type="auto"/>
            <w:shd w:val="clear" w:color="auto" w:fill="auto"/>
          </w:tcPr>
          <w:p w14:paraId="7C4A87AA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4E0BA8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C679A3" w:rsidRPr="004E0BA8" w14:paraId="44003CCD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4E31103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16105897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  <w:r w:rsidRPr="004E0BA8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C234AB0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0F4ED65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F442305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2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56</w:t>
            </w:r>
          </w:p>
        </w:tc>
      </w:tr>
      <w:tr w:rsidR="00C679A3" w:rsidRPr="004E0BA8" w14:paraId="70307FB8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82950F9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4144BC1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9AB0926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14:paraId="118ACF13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36BE55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C679A3" w:rsidRPr="004E0BA8" w14:paraId="21C231D0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FA0A291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0895DBC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0DDAC98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  <w:r w:rsidRPr="004E0BA8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63331F01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3956C2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C679A3" w:rsidRPr="004E0BA8" w14:paraId="565B09C0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1FDAA2B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B75F089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3</w:t>
            </w:r>
            <w:r w:rsidRPr="004E0BA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699AB76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5392B9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130C0A3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C679A3" w:rsidRPr="004E0BA8" w14:paraId="34EF6E61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D91F119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2DB50EE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2BC9640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  <w:r w:rsidRPr="004E0BA8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7DCDC48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FB977E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C679A3" w:rsidRPr="004E0BA8" w14:paraId="2EA23AA3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06A3C27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69297DB" w14:textId="02633975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6</w:t>
            </w:r>
            <w:r w:rsidRPr="004E0BA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0D897C9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043AAB9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EF95798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C679A3" w:rsidRPr="004E0BA8" w14:paraId="3C6EF674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4E74A746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P</w:t>
            </w:r>
            <w:r w:rsidRPr="004E0BA8">
              <w:rPr>
                <w:sz w:val="18"/>
                <w:szCs w:val="18"/>
              </w:rPr>
              <w:t>RS comb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C420962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C679A3" w:rsidRPr="004E0BA8" w14:paraId="583841F9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07F191BE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P</w:t>
            </w:r>
            <w:r w:rsidRPr="004E0BA8">
              <w:rPr>
                <w:sz w:val="18"/>
                <w:szCs w:val="18"/>
              </w:rPr>
              <w:t>RS symbol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970D214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C679A3" w:rsidRPr="004E0BA8" w14:paraId="6CC516AA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0147DF34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3D4A7707" w14:textId="02941C11" w:rsidR="00C679A3" w:rsidRPr="004E0BA8" w:rsidRDefault="0053326E" w:rsidP="00C679A3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1, </w:t>
            </w:r>
            <w:r w:rsidR="00C679A3" w:rsidRPr="004E0BA8">
              <w:rPr>
                <w:sz w:val="18"/>
                <w:szCs w:val="18"/>
              </w:rPr>
              <w:t>4</w:t>
            </w:r>
          </w:p>
        </w:tc>
      </w:tr>
      <w:tr w:rsidR="00C679A3" w:rsidRPr="004E0BA8" w14:paraId="2455EECB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60037C3B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00C1C2AC" w14:textId="74A9113D" w:rsidR="00C679A3" w:rsidRPr="004E0BA8" w:rsidRDefault="00C679A3" w:rsidP="00C679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0ms</w:t>
            </w:r>
          </w:p>
        </w:tc>
      </w:tr>
      <w:tr w:rsidR="00C679A3" w:rsidRPr="004E0BA8" w14:paraId="6C5CCD8F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0FB69EF8" w14:textId="77777777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BFD3811" w14:textId="53CC39E9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 xml:space="preserve">Realistic </w:t>
            </w:r>
          </w:p>
        </w:tc>
      </w:tr>
      <w:tr w:rsidR="00C679A3" w:rsidRPr="004E0BA8" w14:paraId="47839275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3F46E667" w14:textId="77777777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1E01D636" w14:textId="77777777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  <w:tr w:rsidR="00C679A3" w:rsidRPr="004E0BA8" w14:paraId="39E4D26A" w14:textId="77777777" w:rsidTr="00E052A3">
        <w:trPr>
          <w:jc w:val="center"/>
        </w:trPr>
        <w:tc>
          <w:tcPr>
            <w:tcW w:w="0" w:type="auto"/>
            <w:gridSpan w:val="5"/>
            <w:shd w:val="clear" w:color="auto" w:fill="auto"/>
          </w:tcPr>
          <w:p w14:paraId="1D967F3A" w14:textId="77777777" w:rsidR="00C679A3" w:rsidRPr="004E0BA8" w:rsidRDefault="00C679A3" w:rsidP="00C679A3">
            <w:pPr>
              <w:spacing w:after="0"/>
              <w:rPr>
                <w:sz w:val="18"/>
                <w:szCs w:val="18"/>
              </w:rPr>
            </w:pPr>
            <w:r w:rsidRPr="004E0BA8">
              <w:rPr>
                <w:sz w:val="18"/>
                <w:szCs w:val="18"/>
              </w:rPr>
              <w:t>NOTE 1: Repetition 4 is achieved by PRS in 4 consecutive slots</w:t>
            </w:r>
            <w:r w:rsidRPr="004E0BA8">
              <w:rPr>
                <w:sz w:val="20"/>
              </w:rPr>
              <w:t xml:space="preserve"> with </w:t>
            </w:r>
            <w:r w:rsidRPr="004E0BA8">
              <w:rPr>
                <w:sz w:val="18"/>
                <w:szCs w:val="18"/>
              </w:rPr>
              <w:t>PRS-ResourceTimeGap=1.</w:t>
            </w:r>
          </w:p>
          <w:p w14:paraId="0BE1410A" w14:textId="77777777" w:rsidR="00C679A3" w:rsidRDefault="00C679A3" w:rsidP="00C679A3">
            <w:pPr>
              <w:spacing w:after="0"/>
              <w:rPr>
                <w:rFonts w:eastAsia="Batang"/>
                <w:sz w:val="18"/>
              </w:rPr>
            </w:pPr>
            <w:r w:rsidRPr="004E0BA8">
              <w:rPr>
                <w:rFonts w:eastAsia="Batang"/>
                <w:sz w:val="18"/>
              </w:rPr>
              <w:t>NOTE 2: Companies are encouraged to check suitability of the parameters and the values.</w:t>
            </w:r>
          </w:p>
          <w:p w14:paraId="319B9D0D" w14:textId="4442BC52" w:rsidR="002B6DAA" w:rsidRPr="004E0BA8" w:rsidRDefault="002B6DAA" w:rsidP="00C679A3">
            <w:pPr>
              <w:spacing w:after="0"/>
              <w:rPr>
                <w:sz w:val="18"/>
                <w:szCs w:val="18"/>
              </w:rPr>
            </w:pPr>
            <w:r w:rsidRPr="002B6DAA">
              <w:rPr>
                <w:rFonts w:hint="eastAsia"/>
                <w:sz w:val="18"/>
                <w:szCs w:val="18"/>
              </w:rPr>
              <w:t xml:space="preserve">NOTE 3: For number of samples equal to 1, only configurations with RB num </w:t>
            </w:r>
            <w:r w:rsidRPr="002B6DAA">
              <w:rPr>
                <w:rFonts w:hint="eastAsia"/>
                <w:sz w:val="18"/>
                <w:szCs w:val="18"/>
              </w:rPr>
              <w:t>≥</w:t>
            </w:r>
            <w:r w:rsidRPr="002B6DAA">
              <w:rPr>
                <w:rFonts w:hint="eastAsia"/>
                <w:sz w:val="18"/>
                <w:szCs w:val="18"/>
              </w:rPr>
              <w:t xml:space="preserve"> 48 are simulated.</w:t>
            </w:r>
          </w:p>
        </w:tc>
      </w:tr>
    </w:tbl>
    <w:p w14:paraId="4B0E2B87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Performance metric</w:t>
      </w:r>
    </w:p>
    <w:p w14:paraId="79A8BEE5" w14:textId="77777777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>At least the following performance characteristics are to be provided for PRS RSTD:</w:t>
      </w:r>
    </w:p>
    <w:p w14:paraId="59B043C3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 xml:space="preserve">RSTD error CDFs for the 2 neighbour cells </w:t>
      </w:r>
    </w:p>
    <w:p w14:paraId="5A247152" w14:textId="16D6DBF5" w:rsidR="00E5595A" w:rsidRPr="004E0BA8" w:rsidRDefault="00646212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5%-ile and 95%-ile</w:t>
      </w:r>
      <w:r w:rsidR="00E5595A" w:rsidRPr="004E0BA8">
        <w:rPr>
          <w:sz w:val="20"/>
          <w:szCs w:val="22"/>
        </w:rPr>
        <w:t xml:space="preserve"> of the RSTD errors </w:t>
      </w:r>
    </w:p>
    <w:p w14:paraId="431C3CB1" w14:textId="77777777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>At least the following performance characteristics are to be provided for PRS RSRP:</w:t>
      </w:r>
    </w:p>
    <w:p w14:paraId="2D512D57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RSRP error CDFs for 3 cells</w:t>
      </w:r>
    </w:p>
    <w:p w14:paraId="1E4530AF" w14:textId="063ABFA5" w:rsidR="00E5595A" w:rsidRPr="004E0BA8" w:rsidRDefault="00646212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lastRenderedPageBreak/>
        <w:t>5%-ile and 95%-ile</w:t>
      </w:r>
      <w:r w:rsidR="00E5595A" w:rsidRPr="004E0BA8">
        <w:rPr>
          <w:sz w:val="20"/>
          <w:szCs w:val="22"/>
        </w:rPr>
        <w:t xml:space="preserve"> of the RSRP errors for each cell</w:t>
      </w:r>
    </w:p>
    <w:p w14:paraId="5F696763" w14:textId="77777777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>At least the following performance characteristics are to be provided for PRS-RSRPP:</w:t>
      </w:r>
    </w:p>
    <w:p w14:paraId="69B03B8C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PRS-RSRPP error CDFs for 3 cells</w:t>
      </w:r>
    </w:p>
    <w:p w14:paraId="28E949FE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5%-ile and 95%-ile of the PRS-RSRPP errors for each cell</w:t>
      </w:r>
    </w:p>
    <w:p w14:paraId="18C870D7" w14:textId="77777777" w:rsidR="00E5595A" w:rsidRPr="004E0BA8" w:rsidRDefault="00E5595A" w:rsidP="00E5595A">
      <w:p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At least the following performance characteristics are to be provided for UE Rx-Tx:</w:t>
      </w:r>
    </w:p>
    <w:p w14:paraId="5C9D9A3B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lang w:eastAsia="en-GB"/>
        </w:rPr>
        <w:t>T</w:t>
      </w:r>
      <w:r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error CDFs for the 3 cells </w:t>
      </w:r>
    </w:p>
    <w:p w14:paraId="2532B721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 xml:space="preserve">90%-ile of the </w:t>
      </w:r>
      <w:r w:rsidRPr="004E0BA8">
        <w:rPr>
          <w:sz w:val="20"/>
          <w:lang w:eastAsia="en-GB"/>
        </w:rPr>
        <w:t>T</w:t>
      </w:r>
      <w:r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errors for each cell</w:t>
      </w:r>
    </w:p>
    <w:p w14:paraId="25A843D5" w14:textId="77777777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In the above, </w:t>
      </w:r>
    </w:p>
    <w:p w14:paraId="433F09DC" w14:textId="77777777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RSTD error = estimated RSTD – ideal RSTD (based on perfect channel knowledge).</w:t>
      </w:r>
    </w:p>
    <w:p w14:paraId="646A21B3" w14:textId="77777777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</w:rPr>
      </w:pPr>
      <w:r w:rsidRPr="004E0BA8">
        <w:rPr>
          <w:sz w:val="20"/>
          <w:szCs w:val="22"/>
        </w:rPr>
        <w:t>PRS-RSRP error = estimated PRS-RSRP – ideal PRS-RSRP (based on perfect channel knowledge).</w:t>
      </w:r>
    </w:p>
    <w:p w14:paraId="569BB5A1" w14:textId="77777777" w:rsidR="00E5595A" w:rsidRPr="004E0BA8" w:rsidRDefault="00E5595A" w:rsidP="00E5595A">
      <w:pPr>
        <w:numPr>
          <w:ilvl w:val="0"/>
          <w:numId w:val="28"/>
        </w:numPr>
        <w:spacing w:before="120" w:after="120" w:line="240" w:lineRule="auto"/>
        <w:rPr>
          <w:sz w:val="20"/>
        </w:rPr>
      </w:pPr>
      <w:r w:rsidRPr="004E0BA8">
        <w:rPr>
          <w:sz w:val="20"/>
          <w:szCs w:val="22"/>
        </w:rPr>
        <w:t>PRS-RSRPP error = estimated PRS-RSRPP – ideal PRS-RSRPP (as defined in 10.1.38.2.1 of TS 38.133).</w:t>
      </w:r>
    </w:p>
    <w:p w14:paraId="2E93C704" w14:textId="77777777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lang w:eastAsia="zh-CN"/>
        </w:rPr>
      </w:pPr>
      <w:r w:rsidRPr="004E0BA8">
        <w:rPr>
          <w:sz w:val="20"/>
          <w:szCs w:val="22"/>
        </w:rPr>
        <w:t xml:space="preserve">UE Rx-Tx error = abs(estimated </w:t>
      </w:r>
      <w:r w:rsidRPr="004E0BA8">
        <w:rPr>
          <w:sz w:val="20"/>
          <w:lang w:eastAsia="en-GB"/>
        </w:rPr>
        <w:t>T</w:t>
      </w:r>
      <w:r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– ideal </w:t>
      </w:r>
      <w:r w:rsidRPr="004E0BA8">
        <w:rPr>
          <w:sz w:val="20"/>
          <w:lang w:eastAsia="en-GB"/>
        </w:rPr>
        <w:t>T</w:t>
      </w:r>
      <w:r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) (based on perfect channel and UE location knowledge).</w:t>
      </w:r>
    </w:p>
    <w:p w14:paraId="7646C302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References</w:t>
      </w:r>
    </w:p>
    <w:p w14:paraId="13B42CC6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R4-2009127, “Link-level simulation assumptions for UE Rx-Tx time difference measurements”, Qualcomm.</w:t>
      </w:r>
    </w:p>
    <w:p w14:paraId="022663F4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R4-2211061, “Simulation assumption for PRS-RSRPP”, Huawei.</w:t>
      </w:r>
    </w:p>
    <w:p w14:paraId="15D527B6" w14:textId="77777777" w:rsidR="00E5595A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R4-2002287, “Updated link level simulation assumption for RSTD and RSRP”, Huawei.</w:t>
      </w:r>
    </w:p>
    <w:p w14:paraId="2D614112" w14:textId="77777777" w:rsidR="00E5595A" w:rsidRPr="00974E83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974E83">
        <w:rPr>
          <w:sz w:val="20"/>
          <w:lang w:val="en-US" w:eastAsia="zh-CN"/>
        </w:rPr>
        <w:t>R4-2303318, “Simulation assumptions for 1Rx RedCap UE PRS measurements”</w:t>
      </w:r>
      <w:r>
        <w:rPr>
          <w:sz w:val="20"/>
          <w:lang w:val="en-US" w:eastAsia="zh-CN"/>
        </w:rPr>
        <w:t>, Ericsson.</w:t>
      </w:r>
    </w:p>
    <w:p w14:paraId="4673E104" w14:textId="77777777" w:rsidR="00DF4DA2" w:rsidRDefault="00DF4DA2"/>
    <w:sectPr w:rsidR="00DF4D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37084"/>
    <w:multiLevelType w:val="hybridMultilevel"/>
    <w:tmpl w:val="1B90B888"/>
    <w:lvl w:ilvl="0" w:tplc="D2685A3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7AE3"/>
    <w:multiLevelType w:val="hybridMultilevel"/>
    <w:tmpl w:val="DA4C2364"/>
    <w:lvl w:ilvl="0" w:tplc="AD9A58E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45242"/>
    <w:multiLevelType w:val="hybridMultilevel"/>
    <w:tmpl w:val="0BA4D7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87C25"/>
    <w:multiLevelType w:val="hybridMultilevel"/>
    <w:tmpl w:val="8F30BC36"/>
    <w:lvl w:ilvl="0" w:tplc="9BC43B98">
      <w:start w:val="1"/>
      <w:numFmt w:val="bullet"/>
      <w:pStyle w:val="Heading2Head2A2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37C2E"/>
    <w:multiLevelType w:val="hybridMultilevel"/>
    <w:tmpl w:val="DAC0842C"/>
    <w:lvl w:ilvl="0" w:tplc="0526DBF6">
      <w:start w:val="1"/>
      <w:numFmt w:val="bullet"/>
      <w:pStyle w:val="ListParagraph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C45D5"/>
    <w:multiLevelType w:val="multilevel"/>
    <w:tmpl w:val="58D204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2B011C2"/>
    <w:multiLevelType w:val="multilevel"/>
    <w:tmpl w:val="EF58C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8FE6EFB"/>
    <w:multiLevelType w:val="hybridMultilevel"/>
    <w:tmpl w:val="BB02CD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85AEF"/>
    <w:multiLevelType w:val="hybridMultilevel"/>
    <w:tmpl w:val="72DAB682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B38A7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83712F"/>
    <w:multiLevelType w:val="hybridMultilevel"/>
    <w:tmpl w:val="5FC69DBA"/>
    <w:lvl w:ilvl="0" w:tplc="16FC19F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12A83"/>
    <w:multiLevelType w:val="hybridMultilevel"/>
    <w:tmpl w:val="09681D8E"/>
    <w:lvl w:ilvl="0" w:tplc="0FA6C4A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DBCE003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384255321">
    <w:abstractNumId w:val="15"/>
  </w:num>
  <w:num w:numId="2" w16cid:durableId="868645669">
    <w:abstractNumId w:val="17"/>
  </w:num>
  <w:num w:numId="3" w16cid:durableId="248082449">
    <w:abstractNumId w:val="17"/>
  </w:num>
  <w:num w:numId="4" w16cid:durableId="755398479">
    <w:abstractNumId w:val="17"/>
  </w:num>
  <w:num w:numId="5" w16cid:durableId="1246184500">
    <w:abstractNumId w:val="17"/>
  </w:num>
  <w:num w:numId="6" w16cid:durableId="1073890582">
    <w:abstractNumId w:val="17"/>
  </w:num>
  <w:num w:numId="7" w16cid:durableId="1342665372">
    <w:abstractNumId w:val="17"/>
  </w:num>
  <w:num w:numId="8" w16cid:durableId="1550847623">
    <w:abstractNumId w:val="17"/>
  </w:num>
  <w:num w:numId="9" w16cid:durableId="1713650912">
    <w:abstractNumId w:val="17"/>
  </w:num>
  <w:num w:numId="10" w16cid:durableId="638727845">
    <w:abstractNumId w:val="17"/>
  </w:num>
  <w:num w:numId="11" w16cid:durableId="1627849412">
    <w:abstractNumId w:val="17"/>
  </w:num>
  <w:num w:numId="12" w16cid:durableId="1653097197">
    <w:abstractNumId w:val="17"/>
  </w:num>
  <w:num w:numId="13" w16cid:durableId="566231619">
    <w:abstractNumId w:val="17"/>
  </w:num>
  <w:num w:numId="14" w16cid:durableId="1424296901">
    <w:abstractNumId w:val="17"/>
  </w:num>
  <w:num w:numId="15" w16cid:durableId="1191190813">
    <w:abstractNumId w:val="17"/>
  </w:num>
  <w:num w:numId="16" w16cid:durableId="233054174">
    <w:abstractNumId w:val="14"/>
  </w:num>
  <w:num w:numId="17" w16cid:durableId="1519537667">
    <w:abstractNumId w:val="0"/>
  </w:num>
  <w:num w:numId="18" w16cid:durableId="939409216">
    <w:abstractNumId w:val="4"/>
  </w:num>
  <w:num w:numId="19" w16cid:durableId="98919078">
    <w:abstractNumId w:val="4"/>
  </w:num>
  <w:num w:numId="20" w16cid:durableId="1870795007">
    <w:abstractNumId w:val="4"/>
  </w:num>
  <w:num w:numId="21" w16cid:durableId="979730021">
    <w:abstractNumId w:val="10"/>
  </w:num>
  <w:num w:numId="22" w16cid:durableId="1624851233">
    <w:abstractNumId w:val="9"/>
  </w:num>
  <w:num w:numId="23" w16cid:durableId="2855038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05396319">
    <w:abstractNumId w:val="1"/>
  </w:num>
  <w:num w:numId="25" w16cid:durableId="2029670228">
    <w:abstractNumId w:val="5"/>
  </w:num>
  <w:num w:numId="26" w16cid:durableId="150607824">
    <w:abstractNumId w:val="7"/>
  </w:num>
  <w:num w:numId="27" w16cid:durableId="1055198157">
    <w:abstractNumId w:val="8"/>
  </w:num>
  <w:num w:numId="28" w16cid:durableId="1804077194">
    <w:abstractNumId w:val="16"/>
  </w:num>
  <w:num w:numId="29" w16cid:durableId="3010355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54217553">
    <w:abstractNumId w:val="13"/>
  </w:num>
  <w:num w:numId="31" w16cid:durableId="570624667">
    <w:abstractNumId w:val="6"/>
  </w:num>
  <w:num w:numId="32" w16cid:durableId="615988639">
    <w:abstractNumId w:val="12"/>
  </w:num>
  <w:num w:numId="33" w16cid:durableId="1015689367">
    <w:abstractNumId w:val="11"/>
  </w:num>
  <w:num w:numId="34" w16cid:durableId="1529946100">
    <w:abstractNumId w:val="3"/>
  </w:num>
  <w:num w:numId="35" w16cid:durableId="175849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95A"/>
    <w:rsid w:val="00036223"/>
    <w:rsid w:val="000C519F"/>
    <w:rsid w:val="001108DF"/>
    <w:rsid w:val="00144F55"/>
    <w:rsid w:val="00175E50"/>
    <w:rsid w:val="001A005E"/>
    <w:rsid w:val="001A7D98"/>
    <w:rsid w:val="001C0FFC"/>
    <w:rsid w:val="001D12AB"/>
    <w:rsid w:val="00257418"/>
    <w:rsid w:val="00263847"/>
    <w:rsid w:val="00266B8E"/>
    <w:rsid w:val="002A4CE1"/>
    <w:rsid w:val="002A4F67"/>
    <w:rsid w:val="002B6DAA"/>
    <w:rsid w:val="00317084"/>
    <w:rsid w:val="00331CBD"/>
    <w:rsid w:val="004519E0"/>
    <w:rsid w:val="0049634F"/>
    <w:rsid w:val="0053326E"/>
    <w:rsid w:val="005D2DA9"/>
    <w:rsid w:val="00646212"/>
    <w:rsid w:val="0079781A"/>
    <w:rsid w:val="009C4AB2"/>
    <w:rsid w:val="00AF1432"/>
    <w:rsid w:val="00C679A3"/>
    <w:rsid w:val="00D57675"/>
    <w:rsid w:val="00D62EA4"/>
    <w:rsid w:val="00D81828"/>
    <w:rsid w:val="00DB4E48"/>
    <w:rsid w:val="00DF4DA2"/>
    <w:rsid w:val="00E5595A"/>
    <w:rsid w:val="00E729E0"/>
    <w:rsid w:val="00FA146A"/>
    <w:rsid w:val="00FA171E"/>
    <w:rsid w:val="00FA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0E28EF"/>
  <w15:chartTrackingRefBased/>
  <w15:docId w15:val="{13219559-D5A8-594E-A949-2A9BB52B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95A"/>
    <w:pPr>
      <w:spacing w:after="180" w:line="259" w:lineRule="auto"/>
    </w:pPr>
    <w:rPr>
      <w:rFonts w:ascii="Times New Roman" w:eastAsia="SimSun" w:hAnsi="Times New Roman" w:cs="Times New Roman"/>
      <w:kern w:val="0"/>
      <w:sz w:val="22"/>
      <w:szCs w:val="20"/>
      <w:lang w:val="en-GB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autoRedefine/>
    <w:qFormat/>
    <w:rsid w:val="001108D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Heading2"/>
    <w:next w:val="Normal"/>
    <w:link w:val="Heading3Char1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Heading4">
    <w:name w:val="heading 4"/>
    <w:basedOn w:val="Heading3"/>
    <w:next w:val="Normal"/>
    <w:link w:val="Heading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SimSun" w:cs="Times New Roman"/>
      <w:kern w:val="0"/>
      <w:sz w:val="28"/>
      <w:szCs w:val="28"/>
      <w:lang w:eastAsia="zh-CN"/>
      <w14:ligatures w14:val="none"/>
    </w:rPr>
  </w:style>
  <w:style w:type="paragraph" w:styleId="Heading9">
    <w:name w:val="heading 9"/>
    <w:basedOn w:val="Heading8"/>
    <w:next w:val="Normal"/>
    <w:link w:val="Heading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1108DF"/>
    <w:rPr>
      <w:rFonts w:ascii="Arial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1108DF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75E50"/>
    <w:rPr>
      <w:rFonts w:ascii="Arial" w:hAnsi="Arial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Heading1"/>
    <w:next w:val="Normal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 w:cs="Times New Roman"/>
      <w:sz w:val="32"/>
      <w:szCs w:val="20"/>
      <w:lang w:eastAsia="es-E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autoRedefine/>
    <w:uiPriority w:val="34"/>
    <w:qFormat/>
    <w:rsid w:val="002A4CE1"/>
    <w:pPr>
      <w:keepNext/>
      <w:keepLines/>
      <w:framePr w:hSpace="180" w:wrap="around" w:vAnchor="text" w:hAnchor="text" w:xAlign="center" w:y="1"/>
      <w:numPr>
        <w:numId w:val="31"/>
      </w:numPr>
      <w:spacing w:after="0"/>
      <w:ind w:left="359"/>
      <w:contextualSpacing/>
      <w:suppressOverlap/>
    </w:p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2A4CE1"/>
    <w:rPr>
      <w:rFonts w:ascii="Times New Roman" w:eastAsia="SimSun" w:hAnsi="Times New Roman" w:cs="Times New Roman"/>
      <w:kern w:val="0"/>
      <w:sz w:val="22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E5595A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E5595A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E5595A"/>
    <w:rPr>
      <w:rFonts w:ascii="Arial" w:eastAsia="SimSun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Heading9Char">
    <w:name w:val="Heading 9 Char"/>
    <w:basedOn w:val="DefaultParagraphFont"/>
    <w:link w:val="Heading9"/>
    <w:rsid w:val="00E5595A"/>
    <w:rPr>
      <w:rFonts w:ascii="Arial" w:eastAsia="SimSun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TableNormal"/>
    <w:next w:val="TableGrid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val="en-US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55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 [E///]</dc:creator>
  <cp:keywords/>
  <dc:description/>
  <cp:lastModifiedBy>Deep [E///]</cp:lastModifiedBy>
  <cp:revision>2</cp:revision>
  <dcterms:created xsi:type="dcterms:W3CDTF">2023-04-25T13:49:00Z</dcterms:created>
  <dcterms:modified xsi:type="dcterms:W3CDTF">2023-04-25T13:49:00Z</dcterms:modified>
</cp:coreProperties>
</file>